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3796" w14:textId="77777777" w:rsidR="008A0900" w:rsidRDefault="00BF2EA6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9677BB" wp14:editId="547BEA38">
            <wp:extent cx="1840821" cy="408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21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20F3" w14:textId="77777777" w:rsidR="008A0900" w:rsidRDefault="008A0900">
      <w:pPr>
        <w:pStyle w:val="BodyText"/>
        <w:rPr>
          <w:rFonts w:ascii="Times New Roman"/>
          <w:sz w:val="20"/>
        </w:rPr>
      </w:pPr>
    </w:p>
    <w:p w14:paraId="09C1F19C" w14:textId="77777777" w:rsidR="008A0900" w:rsidRDefault="008A0900">
      <w:pPr>
        <w:pStyle w:val="BodyText"/>
        <w:rPr>
          <w:rFonts w:ascii="Times New Roman"/>
          <w:sz w:val="20"/>
        </w:rPr>
      </w:pPr>
    </w:p>
    <w:p w14:paraId="705E98C1" w14:textId="77777777" w:rsidR="008A0900" w:rsidRDefault="008A0900">
      <w:pPr>
        <w:pStyle w:val="BodyText"/>
        <w:rPr>
          <w:rFonts w:ascii="Times New Roman"/>
          <w:sz w:val="20"/>
        </w:rPr>
      </w:pPr>
    </w:p>
    <w:p w14:paraId="78170EF5" w14:textId="24ABEB9D" w:rsidR="008A0900" w:rsidRDefault="008A0900">
      <w:pPr>
        <w:pStyle w:val="BodyText"/>
        <w:spacing w:before="4"/>
        <w:rPr>
          <w:rFonts w:ascii="Times New Roman"/>
          <w:sz w:val="28"/>
        </w:rPr>
      </w:pPr>
    </w:p>
    <w:tbl>
      <w:tblPr>
        <w:tblStyle w:val="TableGrid"/>
        <w:tblW w:w="15734" w:type="dxa"/>
        <w:tblInd w:w="534" w:type="dxa"/>
        <w:tblLook w:val="04A0" w:firstRow="1" w:lastRow="0" w:firstColumn="1" w:lastColumn="0" w:noHBand="0" w:noVBand="1"/>
      </w:tblPr>
      <w:tblGrid>
        <w:gridCol w:w="1417"/>
        <w:gridCol w:w="2552"/>
        <w:gridCol w:w="1275"/>
        <w:gridCol w:w="993"/>
        <w:gridCol w:w="1582"/>
        <w:gridCol w:w="1980"/>
        <w:gridCol w:w="1550"/>
        <w:gridCol w:w="1529"/>
        <w:gridCol w:w="1361"/>
        <w:gridCol w:w="1495"/>
      </w:tblGrid>
      <w:tr w:rsidR="00CA0D9F" w14:paraId="68B0F9E5" w14:textId="77777777" w:rsidTr="00CA0D9F">
        <w:tc>
          <w:tcPr>
            <w:tcW w:w="15734" w:type="dxa"/>
            <w:gridSpan w:val="10"/>
            <w:tcBorders>
              <w:top w:val="nil"/>
              <w:left w:val="nil"/>
              <w:bottom w:val="nil"/>
            </w:tcBorders>
            <w:shd w:val="clear" w:color="auto" w:fill="00B050"/>
          </w:tcPr>
          <w:p w14:paraId="37ED7C7A" w14:textId="77777777" w:rsidR="00CA0D9F" w:rsidRPr="00BF2EA6" w:rsidRDefault="00CA0D9F" w:rsidP="00CA0D9F">
            <w:pPr>
              <w:pStyle w:val="TableParagraph"/>
              <w:spacing w:line="554" w:lineRule="exact"/>
              <w:ind w:left="7"/>
              <w:jc w:val="center"/>
              <w:rPr>
                <w:rFonts w:ascii="Product Sans" w:hAnsi="Product Sans" w:cs="Arial"/>
                <w:sz w:val="42"/>
              </w:rPr>
            </w:pPr>
            <w:r w:rsidRPr="00BF2EA6">
              <w:rPr>
                <w:rFonts w:ascii="Product Sans" w:hAnsi="Product Sans" w:cs="Arial"/>
                <w:sz w:val="42"/>
              </w:rPr>
              <w:t>Remuneration</w:t>
            </w:r>
            <w:r w:rsidRPr="00BF2EA6">
              <w:rPr>
                <w:rFonts w:ascii="Product Sans" w:hAnsi="Product Sans" w:cs="Arial"/>
                <w:spacing w:val="-9"/>
                <w:sz w:val="42"/>
              </w:rPr>
              <w:t xml:space="preserve"> </w:t>
            </w:r>
            <w:r w:rsidRPr="00BF2EA6">
              <w:rPr>
                <w:rFonts w:ascii="Product Sans" w:hAnsi="Product Sans" w:cs="Arial"/>
                <w:sz w:val="42"/>
              </w:rPr>
              <w:t>of</w:t>
            </w:r>
            <w:r w:rsidRPr="00BF2EA6">
              <w:rPr>
                <w:rFonts w:ascii="Product Sans" w:hAnsi="Product Sans" w:cs="Arial"/>
                <w:spacing w:val="-10"/>
                <w:sz w:val="42"/>
              </w:rPr>
              <w:t xml:space="preserve"> </w:t>
            </w:r>
            <w:r>
              <w:rPr>
                <w:rFonts w:ascii="Product Sans" w:hAnsi="Product Sans" w:cs="Arial"/>
                <w:sz w:val="42"/>
              </w:rPr>
              <w:t>Key Management Personnel</w:t>
            </w:r>
          </w:p>
          <w:p w14:paraId="2DCE9182" w14:textId="2CCD131D" w:rsidR="00CA0D9F" w:rsidRPr="00A04491" w:rsidRDefault="00CA0D9F" w:rsidP="00CA0D9F">
            <w:pPr>
              <w:pStyle w:val="BodyText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EA6">
              <w:rPr>
                <w:rFonts w:cs="Arial"/>
                <w:color w:val="212121"/>
                <w:sz w:val="31"/>
              </w:rPr>
              <w:t>Financial</w:t>
            </w:r>
            <w:r w:rsidRPr="00BF2EA6">
              <w:rPr>
                <w:rFonts w:cs="Arial"/>
                <w:color w:val="212121"/>
                <w:spacing w:val="-8"/>
                <w:sz w:val="31"/>
              </w:rPr>
              <w:t xml:space="preserve"> </w:t>
            </w:r>
            <w:r w:rsidRPr="00BF2EA6">
              <w:rPr>
                <w:rFonts w:cs="Arial"/>
                <w:color w:val="212121"/>
                <w:sz w:val="31"/>
              </w:rPr>
              <w:t>Year</w:t>
            </w:r>
            <w:r w:rsidRPr="00BF2EA6">
              <w:rPr>
                <w:rFonts w:cs="Arial"/>
                <w:color w:val="212121"/>
                <w:spacing w:val="-7"/>
                <w:sz w:val="31"/>
              </w:rPr>
              <w:t xml:space="preserve"> </w:t>
            </w:r>
            <w:r w:rsidRPr="00BF2EA6">
              <w:rPr>
                <w:rFonts w:cs="Arial"/>
                <w:color w:val="212121"/>
                <w:sz w:val="31"/>
              </w:rPr>
              <w:t>2021-2022</w:t>
            </w:r>
          </w:p>
        </w:tc>
      </w:tr>
      <w:tr w:rsidR="00A04491" w14:paraId="1907D7A8" w14:textId="77777777" w:rsidTr="00C064FA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BDDE8E" w14:textId="77777777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FA3FD" w14:textId="77777777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0" w:type="dxa"/>
            <w:gridSpan w:val="3"/>
            <w:tcBorders>
              <w:left w:val="single" w:sz="4" w:space="0" w:color="auto"/>
            </w:tcBorders>
          </w:tcPr>
          <w:p w14:paraId="6612CF71" w14:textId="2E26BD96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Short-term benefits</w:t>
            </w:r>
          </w:p>
        </w:tc>
        <w:tc>
          <w:tcPr>
            <w:tcW w:w="1980" w:type="dxa"/>
          </w:tcPr>
          <w:p w14:paraId="7AACFFAC" w14:textId="1F43E25C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Post-employment benefits</w:t>
            </w:r>
          </w:p>
        </w:tc>
        <w:tc>
          <w:tcPr>
            <w:tcW w:w="3079" w:type="dxa"/>
            <w:gridSpan w:val="2"/>
          </w:tcPr>
          <w:p w14:paraId="59D954EE" w14:textId="0A4FA61D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Other long-term benefits</w:t>
            </w:r>
          </w:p>
        </w:tc>
        <w:tc>
          <w:tcPr>
            <w:tcW w:w="1361" w:type="dxa"/>
          </w:tcPr>
          <w:p w14:paraId="019C1A96" w14:textId="2CA44CFA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Termination benefits</w:t>
            </w:r>
          </w:p>
        </w:tc>
        <w:tc>
          <w:tcPr>
            <w:tcW w:w="1495" w:type="dxa"/>
          </w:tcPr>
          <w:p w14:paraId="5CB4A416" w14:textId="3629CD44" w:rsidR="00A04491" w:rsidRPr="00B44768" w:rsidRDefault="00A04491" w:rsidP="00A04491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Total remuneration</w:t>
            </w:r>
          </w:p>
        </w:tc>
      </w:tr>
      <w:tr w:rsidR="00A04491" w14:paraId="62DDC36D" w14:textId="77777777" w:rsidTr="006B649A">
        <w:tc>
          <w:tcPr>
            <w:tcW w:w="1417" w:type="dxa"/>
            <w:tcBorders>
              <w:top w:val="single" w:sz="4" w:space="0" w:color="auto"/>
            </w:tcBorders>
          </w:tcPr>
          <w:p w14:paraId="686FC5F1" w14:textId="42C56FE2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09A324" w14:textId="23A9D306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Position Title</w:t>
            </w:r>
          </w:p>
        </w:tc>
        <w:tc>
          <w:tcPr>
            <w:tcW w:w="1275" w:type="dxa"/>
          </w:tcPr>
          <w:p w14:paraId="43C467D5" w14:textId="5CE98BDF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Base Salary</w:t>
            </w:r>
          </w:p>
        </w:tc>
        <w:tc>
          <w:tcPr>
            <w:tcW w:w="993" w:type="dxa"/>
          </w:tcPr>
          <w:p w14:paraId="60D0225B" w14:textId="4E49EBD2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Bonuses</w:t>
            </w:r>
          </w:p>
        </w:tc>
        <w:tc>
          <w:tcPr>
            <w:tcW w:w="1582" w:type="dxa"/>
          </w:tcPr>
          <w:p w14:paraId="2BC2DDF1" w14:textId="220F6298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Other benefits and allowances</w:t>
            </w:r>
          </w:p>
        </w:tc>
        <w:tc>
          <w:tcPr>
            <w:tcW w:w="1980" w:type="dxa"/>
          </w:tcPr>
          <w:p w14:paraId="6DC93B11" w14:textId="7AD3D24A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Superannuation contributions</w:t>
            </w:r>
          </w:p>
        </w:tc>
        <w:tc>
          <w:tcPr>
            <w:tcW w:w="1550" w:type="dxa"/>
          </w:tcPr>
          <w:p w14:paraId="5BEBF72E" w14:textId="6F471B20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Long Service Leave</w:t>
            </w:r>
          </w:p>
        </w:tc>
        <w:tc>
          <w:tcPr>
            <w:tcW w:w="1529" w:type="dxa"/>
          </w:tcPr>
          <w:p w14:paraId="0676913B" w14:textId="5EA6DCB2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Other long-term benefits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0DAE3F08" w14:textId="77777777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F2F2F2" w:themeFill="background1" w:themeFillShade="F2"/>
          </w:tcPr>
          <w:p w14:paraId="70B4CB07" w14:textId="77777777" w:rsidR="00A04491" w:rsidRPr="00B44768" w:rsidRDefault="00A04491" w:rsidP="006F1709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491" w14:paraId="6648A606" w14:textId="77777777" w:rsidTr="00B44768">
        <w:tc>
          <w:tcPr>
            <w:tcW w:w="1417" w:type="dxa"/>
          </w:tcPr>
          <w:p w14:paraId="709F1E69" w14:textId="3D49ECBD" w:rsidR="00A04491" w:rsidRPr="00B44768" w:rsidRDefault="00CA0D9F" w:rsidP="006F1709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John Harvey</w:t>
            </w:r>
          </w:p>
        </w:tc>
        <w:tc>
          <w:tcPr>
            <w:tcW w:w="2552" w:type="dxa"/>
          </w:tcPr>
          <w:p w14:paraId="235E9EFA" w14:textId="1C50AF04" w:rsidR="00A04491" w:rsidRPr="00B44768" w:rsidRDefault="00CA0D9F" w:rsidP="006F1709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Managing Director</w:t>
            </w:r>
          </w:p>
        </w:tc>
        <w:tc>
          <w:tcPr>
            <w:tcW w:w="1275" w:type="dxa"/>
          </w:tcPr>
          <w:p w14:paraId="0005A7FA" w14:textId="3C0B69B2" w:rsidR="00A04491" w:rsidRPr="00B44768" w:rsidRDefault="00CA0D9F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</w:t>
            </w:r>
            <w:r w:rsidR="00B44768" w:rsidRPr="00B44768">
              <w:rPr>
                <w:rFonts w:ascii="Arial" w:hAnsi="Arial" w:cs="Arial"/>
                <w:sz w:val="18"/>
                <w:szCs w:val="18"/>
              </w:rPr>
              <w:t>3</w:t>
            </w:r>
            <w:r w:rsidRPr="00B44768">
              <w:rPr>
                <w:rFonts w:ascii="Arial" w:hAnsi="Arial" w:cs="Arial"/>
                <w:sz w:val="18"/>
                <w:szCs w:val="18"/>
              </w:rPr>
              <w:t>47</w:t>
            </w:r>
            <w:r w:rsidR="00B44768" w:rsidRPr="00B44768">
              <w:rPr>
                <w:rFonts w:ascii="Arial" w:hAnsi="Arial" w:cs="Arial"/>
                <w:sz w:val="18"/>
                <w:szCs w:val="18"/>
              </w:rPr>
              <w:t>,819.10</w:t>
            </w:r>
          </w:p>
        </w:tc>
        <w:tc>
          <w:tcPr>
            <w:tcW w:w="993" w:type="dxa"/>
          </w:tcPr>
          <w:p w14:paraId="7409DC69" w14:textId="31F37843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14:paraId="3959A9FF" w14:textId="3B2DA2EF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14:paraId="3FDB7B05" w14:textId="7EF1C0D4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$23,568.00</w:t>
            </w:r>
          </w:p>
        </w:tc>
        <w:tc>
          <w:tcPr>
            <w:tcW w:w="1550" w:type="dxa"/>
          </w:tcPr>
          <w:p w14:paraId="620B516C" w14:textId="6D15F0FB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14:paraId="673F7792" w14:textId="5ED8122C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14:paraId="08DB05FE" w14:textId="7A2E0109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55818E9B" w14:textId="704B1FC4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$371,387.10</w:t>
            </w:r>
          </w:p>
        </w:tc>
      </w:tr>
      <w:tr w:rsidR="00B44768" w14:paraId="2417F4AC" w14:textId="77777777" w:rsidTr="00B44768">
        <w:tc>
          <w:tcPr>
            <w:tcW w:w="1417" w:type="dxa"/>
          </w:tcPr>
          <w:p w14:paraId="0C162C98" w14:textId="33FA9178" w:rsidR="00B44768" w:rsidRPr="00B44768" w:rsidRDefault="00B44768" w:rsidP="00B44768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Belinda Allitt</w:t>
            </w:r>
          </w:p>
        </w:tc>
        <w:tc>
          <w:tcPr>
            <w:tcW w:w="2552" w:type="dxa"/>
          </w:tcPr>
          <w:p w14:paraId="49B972B9" w14:textId="2EAB68BC" w:rsidR="00B44768" w:rsidRPr="00B44768" w:rsidRDefault="00B44768" w:rsidP="00B44768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General Manager, Communications &amp; Capacity Building</w:t>
            </w:r>
          </w:p>
        </w:tc>
        <w:tc>
          <w:tcPr>
            <w:tcW w:w="1275" w:type="dxa"/>
          </w:tcPr>
          <w:p w14:paraId="6A730330" w14:textId="1DA1CF07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$226,000.00</w:t>
            </w:r>
          </w:p>
        </w:tc>
        <w:tc>
          <w:tcPr>
            <w:tcW w:w="993" w:type="dxa"/>
          </w:tcPr>
          <w:p w14:paraId="594E3C6D" w14:textId="64596732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14:paraId="29710255" w14:textId="60D085C9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14:paraId="6F733D75" w14:textId="2F8FD9DB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$22,600.00</w:t>
            </w:r>
          </w:p>
        </w:tc>
        <w:tc>
          <w:tcPr>
            <w:tcW w:w="1550" w:type="dxa"/>
          </w:tcPr>
          <w:p w14:paraId="3309B5C1" w14:textId="7DCAB328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14:paraId="168E7785" w14:textId="223E13CD" w:rsidR="00B44768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14:paraId="728BEAF3" w14:textId="51EAAD68" w:rsidR="00B44768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7CC170F9" w14:textId="25058C02" w:rsidR="00B44768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$248,600.00</w:t>
            </w:r>
          </w:p>
        </w:tc>
      </w:tr>
      <w:tr w:rsidR="00B44768" w14:paraId="5FA79B23" w14:textId="77777777" w:rsidTr="00B44768">
        <w:tc>
          <w:tcPr>
            <w:tcW w:w="1417" w:type="dxa"/>
          </w:tcPr>
          <w:p w14:paraId="11D73617" w14:textId="5EC6B349" w:rsidR="00B44768" w:rsidRPr="00B44768" w:rsidRDefault="00B44768" w:rsidP="00B44768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Louise Heaslip</w:t>
            </w:r>
          </w:p>
        </w:tc>
        <w:tc>
          <w:tcPr>
            <w:tcW w:w="2552" w:type="dxa"/>
          </w:tcPr>
          <w:p w14:paraId="0842DC56" w14:textId="07D8E824" w:rsidR="00B44768" w:rsidRPr="00B44768" w:rsidRDefault="00B44768" w:rsidP="00B44768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General Manager, Corporate</w:t>
            </w:r>
          </w:p>
        </w:tc>
        <w:tc>
          <w:tcPr>
            <w:tcW w:w="1275" w:type="dxa"/>
          </w:tcPr>
          <w:p w14:paraId="080B89C4" w14:textId="3AE989AF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$212,221.20</w:t>
            </w:r>
          </w:p>
        </w:tc>
        <w:tc>
          <w:tcPr>
            <w:tcW w:w="993" w:type="dxa"/>
          </w:tcPr>
          <w:p w14:paraId="3DB0D25C" w14:textId="54D8E698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14:paraId="4382E911" w14:textId="3AA95D7E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14:paraId="1033FC42" w14:textId="72889AD3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$20,161.01</w:t>
            </w:r>
          </w:p>
        </w:tc>
        <w:tc>
          <w:tcPr>
            <w:tcW w:w="1550" w:type="dxa"/>
          </w:tcPr>
          <w:p w14:paraId="3561239A" w14:textId="64480DF9" w:rsidR="00B44768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14:paraId="6A9FAA8D" w14:textId="428A75F1" w:rsidR="00B44768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14:paraId="0A5EDABD" w14:textId="330B4CD1" w:rsidR="00B44768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73FA2D45" w14:textId="03DC2C86" w:rsidR="00B44768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$232,382.21</w:t>
            </w:r>
          </w:p>
        </w:tc>
      </w:tr>
      <w:tr w:rsidR="00A04491" w14:paraId="0E5C72DA" w14:textId="77777777" w:rsidTr="00B44768">
        <w:tc>
          <w:tcPr>
            <w:tcW w:w="1417" w:type="dxa"/>
          </w:tcPr>
          <w:p w14:paraId="217633EE" w14:textId="0F0ACA01" w:rsidR="00A04491" w:rsidRPr="00B44768" w:rsidRDefault="00CA0D9F" w:rsidP="006F1709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Michael Beer</w:t>
            </w:r>
          </w:p>
        </w:tc>
        <w:tc>
          <w:tcPr>
            <w:tcW w:w="2552" w:type="dxa"/>
          </w:tcPr>
          <w:p w14:paraId="4EB30681" w14:textId="2E555AA5" w:rsidR="00A04491" w:rsidRPr="00B44768" w:rsidRDefault="00CA0D9F" w:rsidP="006F1709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General Manager, Business Development</w:t>
            </w:r>
          </w:p>
        </w:tc>
        <w:tc>
          <w:tcPr>
            <w:tcW w:w="1275" w:type="dxa"/>
          </w:tcPr>
          <w:p w14:paraId="450D62EC" w14:textId="2826663C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$212,221.20</w:t>
            </w:r>
          </w:p>
        </w:tc>
        <w:tc>
          <w:tcPr>
            <w:tcW w:w="993" w:type="dxa"/>
          </w:tcPr>
          <w:p w14:paraId="2D98CC54" w14:textId="2013319C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14:paraId="59E38F20" w14:textId="0E746CB7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14:paraId="09F6ABF3" w14:textId="707AAB50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$20,161.01</w:t>
            </w:r>
          </w:p>
        </w:tc>
        <w:tc>
          <w:tcPr>
            <w:tcW w:w="1550" w:type="dxa"/>
          </w:tcPr>
          <w:p w14:paraId="572F3D47" w14:textId="3B4D00D2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14:paraId="4A4EA8E1" w14:textId="54DB698E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14:paraId="46B1A2A5" w14:textId="538EC631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27B964CA" w14:textId="259E1507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$232,382.21</w:t>
            </w:r>
          </w:p>
        </w:tc>
      </w:tr>
      <w:tr w:rsidR="00A04491" w14:paraId="2EED5DEC" w14:textId="77777777" w:rsidTr="00B44768">
        <w:tc>
          <w:tcPr>
            <w:tcW w:w="1417" w:type="dxa"/>
          </w:tcPr>
          <w:p w14:paraId="0BAEC407" w14:textId="35F042C6" w:rsidR="00A04491" w:rsidRPr="00B44768" w:rsidRDefault="00CA0D9F" w:rsidP="006F1709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John Smith</w:t>
            </w:r>
          </w:p>
        </w:tc>
        <w:tc>
          <w:tcPr>
            <w:tcW w:w="2552" w:type="dxa"/>
          </w:tcPr>
          <w:p w14:paraId="4AA3082D" w14:textId="7A282061" w:rsidR="00A04491" w:rsidRPr="00B44768" w:rsidRDefault="00CA0D9F" w:rsidP="006F1709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General Manager, Research</w:t>
            </w:r>
          </w:p>
        </w:tc>
        <w:tc>
          <w:tcPr>
            <w:tcW w:w="1275" w:type="dxa"/>
          </w:tcPr>
          <w:p w14:paraId="6B7D72B2" w14:textId="7F0D07DC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$202,574.78</w:t>
            </w:r>
          </w:p>
        </w:tc>
        <w:tc>
          <w:tcPr>
            <w:tcW w:w="993" w:type="dxa"/>
          </w:tcPr>
          <w:p w14:paraId="46A61A63" w14:textId="1B62DFBA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14:paraId="6D4F2E64" w14:textId="237B55F7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14:paraId="11B397C9" w14:textId="432BC266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$19,244.60</w:t>
            </w:r>
          </w:p>
        </w:tc>
        <w:tc>
          <w:tcPr>
            <w:tcW w:w="1550" w:type="dxa"/>
          </w:tcPr>
          <w:p w14:paraId="31D2AB66" w14:textId="14253954" w:rsidR="00A04491" w:rsidRPr="00B44768" w:rsidRDefault="00B44768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14:paraId="7A06366D" w14:textId="006D3F9C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14:paraId="5B62F3A6" w14:textId="27561E98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7E2A1179" w14:textId="7B661245" w:rsidR="00A04491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$221,819.39</w:t>
            </w:r>
          </w:p>
        </w:tc>
      </w:tr>
    </w:tbl>
    <w:p w14:paraId="727AA858" w14:textId="66992EA7" w:rsidR="006F1709" w:rsidRDefault="006F1709" w:rsidP="006F1709">
      <w:pPr>
        <w:pStyle w:val="BodyText"/>
        <w:spacing w:before="4"/>
        <w:ind w:left="1134"/>
        <w:rPr>
          <w:rFonts w:ascii="Times New Roman"/>
          <w:sz w:val="28"/>
        </w:rPr>
      </w:pPr>
    </w:p>
    <w:tbl>
      <w:tblPr>
        <w:tblStyle w:val="TableGrid"/>
        <w:tblW w:w="15734" w:type="dxa"/>
        <w:tblInd w:w="534" w:type="dxa"/>
        <w:tblLook w:val="04A0" w:firstRow="1" w:lastRow="0" w:firstColumn="1" w:lastColumn="0" w:noHBand="0" w:noVBand="1"/>
      </w:tblPr>
      <w:tblGrid>
        <w:gridCol w:w="2126"/>
        <w:gridCol w:w="1843"/>
        <w:gridCol w:w="1275"/>
        <w:gridCol w:w="993"/>
        <w:gridCol w:w="1582"/>
        <w:gridCol w:w="1980"/>
        <w:gridCol w:w="1550"/>
        <w:gridCol w:w="1529"/>
        <w:gridCol w:w="1361"/>
        <w:gridCol w:w="1495"/>
      </w:tblGrid>
      <w:tr w:rsidR="00865FFA" w14:paraId="47009FC6" w14:textId="77777777" w:rsidTr="00A57D7B">
        <w:tc>
          <w:tcPr>
            <w:tcW w:w="15734" w:type="dxa"/>
            <w:gridSpan w:val="10"/>
            <w:tcBorders>
              <w:top w:val="nil"/>
              <w:left w:val="nil"/>
              <w:bottom w:val="nil"/>
            </w:tcBorders>
            <w:shd w:val="clear" w:color="auto" w:fill="00B050"/>
          </w:tcPr>
          <w:p w14:paraId="7B1D7E42" w14:textId="3CC7237D" w:rsidR="00865FFA" w:rsidRPr="00BF2EA6" w:rsidRDefault="00865FFA" w:rsidP="00A57D7B">
            <w:pPr>
              <w:pStyle w:val="TableParagraph"/>
              <w:spacing w:line="554" w:lineRule="exact"/>
              <w:ind w:left="7"/>
              <w:jc w:val="center"/>
              <w:rPr>
                <w:rFonts w:ascii="Product Sans" w:hAnsi="Product Sans" w:cs="Arial"/>
                <w:sz w:val="42"/>
              </w:rPr>
            </w:pPr>
            <w:r w:rsidRPr="00BF2EA6">
              <w:rPr>
                <w:rFonts w:ascii="Product Sans" w:hAnsi="Product Sans" w:cs="Arial"/>
                <w:sz w:val="42"/>
              </w:rPr>
              <w:t>Remuneration</w:t>
            </w:r>
            <w:r w:rsidRPr="00BF2EA6">
              <w:rPr>
                <w:rFonts w:ascii="Product Sans" w:hAnsi="Product Sans" w:cs="Arial"/>
                <w:spacing w:val="-9"/>
                <w:sz w:val="42"/>
              </w:rPr>
              <w:t xml:space="preserve"> </w:t>
            </w:r>
            <w:r w:rsidRPr="00BF2EA6">
              <w:rPr>
                <w:rFonts w:ascii="Product Sans" w:hAnsi="Product Sans" w:cs="Arial"/>
                <w:sz w:val="42"/>
              </w:rPr>
              <w:t>of</w:t>
            </w:r>
            <w:r w:rsidRPr="00BF2EA6">
              <w:rPr>
                <w:rFonts w:ascii="Product Sans" w:hAnsi="Product Sans" w:cs="Arial"/>
                <w:spacing w:val="-10"/>
                <w:sz w:val="42"/>
              </w:rPr>
              <w:t xml:space="preserve"> </w:t>
            </w:r>
            <w:r>
              <w:rPr>
                <w:rFonts w:ascii="Product Sans" w:hAnsi="Product Sans" w:cs="Arial"/>
                <w:sz w:val="42"/>
              </w:rPr>
              <w:t>Senior Executives</w:t>
            </w:r>
          </w:p>
          <w:p w14:paraId="35819367" w14:textId="77777777" w:rsidR="00865FFA" w:rsidRPr="00A04491" w:rsidRDefault="00865FFA" w:rsidP="00A57D7B">
            <w:pPr>
              <w:pStyle w:val="BodyText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EA6">
              <w:rPr>
                <w:rFonts w:cs="Arial"/>
                <w:color w:val="212121"/>
                <w:sz w:val="31"/>
              </w:rPr>
              <w:t>Financial</w:t>
            </w:r>
            <w:r w:rsidRPr="00BF2EA6">
              <w:rPr>
                <w:rFonts w:cs="Arial"/>
                <w:color w:val="212121"/>
                <w:spacing w:val="-8"/>
                <w:sz w:val="31"/>
              </w:rPr>
              <w:t xml:space="preserve"> </w:t>
            </w:r>
            <w:r w:rsidRPr="00BF2EA6">
              <w:rPr>
                <w:rFonts w:cs="Arial"/>
                <w:color w:val="212121"/>
                <w:sz w:val="31"/>
              </w:rPr>
              <w:t>Year</w:t>
            </w:r>
            <w:r w:rsidRPr="00BF2EA6">
              <w:rPr>
                <w:rFonts w:cs="Arial"/>
                <w:color w:val="212121"/>
                <w:spacing w:val="-7"/>
                <w:sz w:val="31"/>
              </w:rPr>
              <w:t xml:space="preserve"> </w:t>
            </w:r>
            <w:r w:rsidRPr="00BF2EA6">
              <w:rPr>
                <w:rFonts w:cs="Arial"/>
                <w:color w:val="212121"/>
                <w:sz w:val="31"/>
              </w:rPr>
              <w:t>2021-2022</w:t>
            </w:r>
          </w:p>
        </w:tc>
      </w:tr>
      <w:tr w:rsidR="00C064FA" w14:paraId="47B41551" w14:textId="77777777" w:rsidTr="00C064FA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FE4219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AAAC0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0" w:type="dxa"/>
            <w:gridSpan w:val="3"/>
            <w:tcBorders>
              <w:left w:val="single" w:sz="4" w:space="0" w:color="auto"/>
            </w:tcBorders>
          </w:tcPr>
          <w:p w14:paraId="4BB5505B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Short-term benefits</w:t>
            </w:r>
          </w:p>
        </w:tc>
        <w:tc>
          <w:tcPr>
            <w:tcW w:w="1980" w:type="dxa"/>
          </w:tcPr>
          <w:p w14:paraId="05D88D47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Post-employment benefits</w:t>
            </w:r>
          </w:p>
        </w:tc>
        <w:tc>
          <w:tcPr>
            <w:tcW w:w="3079" w:type="dxa"/>
            <w:gridSpan w:val="2"/>
          </w:tcPr>
          <w:p w14:paraId="5FB08494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Other long-term benefits</w:t>
            </w:r>
          </w:p>
        </w:tc>
        <w:tc>
          <w:tcPr>
            <w:tcW w:w="1361" w:type="dxa"/>
          </w:tcPr>
          <w:p w14:paraId="11DB0CEB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Termination benefits</w:t>
            </w:r>
          </w:p>
        </w:tc>
        <w:tc>
          <w:tcPr>
            <w:tcW w:w="1495" w:type="dxa"/>
          </w:tcPr>
          <w:p w14:paraId="1B8B3D1C" w14:textId="77777777" w:rsidR="00865FFA" w:rsidRPr="00B44768" w:rsidRDefault="00865FFA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Total remuneration</w:t>
            </w:r>
          </w:p>
        </w:tc>
      </w:tr>
      <w:tr w:rsidR="00BD76C6" w14:paraId="15206895" w14:textId="77777777" w:rsidTr="00BD76C6">
        <w:tc>
          <w:tcPr>
            <w:tcW w:w="2126" w:type="dxa"/>
            <w:tcBorders>
              <w:top w:val="single" w:sz="4" w:space="0" w:color="auto"/>
            </w:tcBorders>
          </w:tcPr>
          <w:p w14:paraId="62A29C77" w14:textId="37A9E49A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remuneration bands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596B7B" w14:textId="27706F55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senior executives</w:t>
            </w:r>
          </w:p>
        </w:tc>
        <w:tc>
          <w:tcPr>
            <w:tcW w:w="1275" w:type="dxa"/>
          </w:tcPr>
          <w:p w14:paraId="687D16E3" w14:textId="432FE377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Average </w:t>
            </w:r>
            <w:r w:rsidR="00865FFA"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Base Salary</w:t>
            </w:r>
          </w:p>
        </w:tc>
        <w:tc>
          <w:tcPr>
            <w:tcW w:w="993" w:type="dxa"/>
          </w:tcPr>
          <w:p w14:paraId="21E3EE10" w14:textId="13DC0D56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Average </w:t>
            </w:r>
            <w:r w:rsidR="00865FFA"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Bonuses</w:t>
            </w:r>
          </w:p>
        </w:tc>
        <w:tc>
          <w:tcPr>
            <w:tcW w:w="1582" w:type="dxa"/>
          </w:tcPr>
          <w:p w14:paraId="4030AF5C" w14:textId="232B891E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Average </w:t>
            </w:r>
            <w:r w:rsidR="00865FFA"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Other benefits and allowances</w:t>
            </w:r>
          </w:p>
        </w:tc>
        <w:tc>
          <w:tcPr>
            <w:tcW w:w="1980" w:type="dxa"/>
          </w:tcPr>
          <w:p w14:paraId="26C42434" w14:textId="101585F0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Average </w:t>
            </w:r>
            <w:r w:rsidR="00865FFA"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Superannuation contributions</w:t>
            </w:r>
          </w:p>
        </w:tc>
        <w:tc>
          <w:tcPr>
            <w:tcW w:w="1550" w:type="dxa"/>
          </w:tcPr>
          <w:p w14:paraId="4DADB92E" w14:textId="23B13C09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Average </w:t>
            </w:r>
            <w:r w:rsidR="00865FFA"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Long Service Leave</w:t>
            </w:r>
          </w:p>
        </w:tc>
        <w:tc>
          <w:tcPr>
            <w:tcW w:w="1529" w:type="dxa"/>
          </w:tcPr>
          <w:p w14:paraId="1CA5EED5" w14:textId="67D11E12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Average </w:t>
            </w:r>
            <w:r w:rsidR="00865FFA" w:rsidRPr="00B44768">
              <w:rPr>
                <w:rFonts w:ascii="Arial" w:hAnsi="Arial" w:cs="Arial"/>
                <w:b/>
                <w:bCs/>
                <w:sz w:val="18"/>
                <w:szCs w:val="18"/>
              </w:rPr>
              <w:t>Other long-term benefits</w:t>
            </w:r>
          </w:p>
        </w:tc>
        <w:tc>
          <w:tcPr>
            <w:tcW w:w="1361" w:type="dxa"/>
          </w:tcPr>
          <w:p w14:paraId="24C8220B" w14:textId="63B3B867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Average termination benefits</w:t>
            </w:r>
          </w:p>
        </w:tc>
        <w:tc>
          <w:tcPr>
            <w:tcW w:w="1495" w:type="dxa"/>
          </w:tcPr>
          <w:p w14:paraId="2CCED078" w14:textId="0153151B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Average total remuneration</w:t>
            </w:r>
          </w:p>
        </w:tc>
      </w:tr>
      <w:tr w:rsidR="00BD76C6" w14:paraId="6BE1A0B7" w14:textId="77777777" w:rsidTr="00BD76C6">
        <w:tc>
          <w:tcPr>
            <w:tcW w:w="2126" w:type="dxa"/>
          </w:tcPr>
          <w:p w14:paraId="1758DF91" w14:textId="0D5BA624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$0 - $220,000</w:t>
            </w:r>
          </w:p>
        </w:tc>
        <w:tc>
          <w:tcPr>
            <w:tcW w:w="1843" w:type="dxa"/>
          </w:tcPr>
          <w:p w14:paraId="4785836F" w14:textId="25D75116" w:rsidR="00865FFA" w:rsidRPr="00B44768" w:rsidRDefault="00BD76C6" w:rsidP="00A57D7B">
            <w:pPr>
              <w:pStyle w:val="BodyText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8101748" w14:textId="44AEAA0E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</w:t>
            </w:r>
            <w:r w:rsidR="00B95C2E">
              <w:rPr>
                <w:rFonts w:ascii="Arial" w:hAnsi="Arial" w:cs="Arial"/>
                <w:sz w:val="18"/>
                <w:szCs w:val="18"/>
              </w:rPr>
              <w:t>136,120.73</w:t>
            </w:r>
          </w:p>
        </w:tc>
        <w:tc>
          <w:tcPr>
            <w:tcW w:w="993" w:type="dxa"/>
          </w:tcPr>
          <w:p w14:paraId="4C5A1CD1" w14:textId="77777777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14:paraId="38105AD6" w14:textId="77777777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14:paraId="6679A692" w14:textId="6180FF61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768">
              <w:rPr>
                <w:rFonts w:ascii="Arial" w:hAnsi="Arial" w:cs="Arial"/>
                <w:sz w:val="18"/>
                <w:szCs w:val="18"/>
              </w:rPr>
              <w:t>$</w:t>
            </w:r>
            <w:r w:rsidR="00B95C2E">
              <w:rPr>
                <w:rFonts w:ascii="Arial" w:hAnsi="Arial" w:cs="Arial"/>
                <w:sz w:val="18"/>
                <w:szCs w:val="18"/>
              </w:rPr>
              <w:t>21,347.12</w:t>
            </w:r>
          </w:p>
        </w:tc>
        <w:tc>
          <w:tcPr>
            <w:tcW w:w="1550" w:type="dxa"/>
          </w:tcPr>
          <w:p w14:paraId="63F81F48" w14:textId="77777777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14:paraId="40D4EABE" w14:textId="77777777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14:paraId="433E4FD8" w14:textId="77777777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4889DC9F" w14:textId="45F427C6" w:rsidR="00865FFA" w:rsidRPr="00B44768" w:rsidRDefault="00865FFA" w:rsidP="00865FFA">
            <w:pPr>
              <w:pStyle w:val="BodyText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95C2E">
              <w:rPr>
                <w:rFonts w:ascii="Arial" w:hAnsi="Arial" w:cs="Arial"/>
                <w:sz w:val="18"/>
                <w:szCs w:val="18"/>
              </w:rPr>
              <w:t>157,467.85</w:t>
            </w:r>
          </w:p>
        </w:tc>
      </w:tr>
    </w:tbl>
    <w:p w14:paraId="1D9FB215" w14:textId="127F9B4F" w:rsidR="006F1709" w:rsidRDefault="006F1709">
      <w:pPr>
        <w:pStyle w:val="BodyText"/>
        <w:spacing w:before="4"/>
        <w:rPr>
          <w:rFonts w:ascii="Times New Roman"/>
          <w:sz w:val="28"/>
        </w:rPr>
      </w:pPr>
    </w:p>
    <w:p w14:paraId="07138B7D" w14:textId="77777777" w:rsidR="008A0900" w:rsidRPr="00D601F4" w:rsidRDefault="00BF2EA6" w:rsidP="00B95C2E">
      <w:pPr>
        <w:pStyle w:val="Title"/>
        <w:spacing w:before="0"/>
        <w:ind w:left="1134"/>
        <w:rPr>
          <w:rFonts w:ascii="Arial" w:hAnsi="Arial" w:cs="Arial"/>
          <w:sz w:val="22"/>
          <w:szCs w:val="22"/>
        </w:rPr>
      </w:pPr>
      <w:bookmarkStart w:id="0" w:name="Remuneration_of_Senior_Executives"/>
      <w:bookmarkEnd w:id="0"/>
      <w:r w:rsidRPr="00D601F4">
        <w:rPr>
          <w:rFonts w:ascii="Arial" w:hAnsi="Arial" w:cs="Arial"/>
          <w:sz w:val="22"/>
          <w:szCs w:val="22"/>
        </w:rPr>
        <w:t>Key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requirements/definitions:</w:t>
      </w:r>
    </w:p>
    <w:p w14:paraId="13DAF455" w14:textId="31A8DCBE" w:rsidR="008A0900" w:rsidRPr="00D601F4" w:rsidRDefault="00BF2EA6" w:rsidP="00B95C2E">
      <w:pPr>
        <w:pStyle w:val="BodyText"/>
        <w:spacing w:line="230" w:lineRule="auto"/>
        <w:ind w:left="1134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‘reportable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salary’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column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prepared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on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</w:t>
      </w:r>
      <w:r w:rsidRPr="00D601F4">
        <w:rPr>
          <w:rFonts w:ascii="Arial" w:hAnsi="Arial" w:cs="Arial"/>
          <w:spacing w:val="7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cash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basis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using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reportable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salary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defined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="00D601F4">
        <w:rPr>
          <w:rFonts w:ascii="Arial" w:hAnsi="Arial" w:cs="Arial"/>
          <w:sz w:val="22"/>
          <w:szCs w:val="22"/>
        </w:rPr>
        <w:t>as the sum of</w:t>
      </w:r>
      <w:r w:rsidRPr="00D601F4">
        <w:rPr>
          <w:rFonts w:ascii="Arial" w:hAnsi="Arial" w:cs="Arial"/>
          <w:sz w:val="22"/>
          <w:szCs w:val="22"/>
        </w:rPr>
        <w:t>:</w:t>
      </w:r>
    </w:p>
    <w:p w14:paraId="51DC2404" w14:textId="77777777" w:rsidR="008A0900" w:rsidRPr="00D601F4" w:rsidRDefault="00BF2EA6" w:rsidP="00B95C2E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spacing w:line="274" w:lineRule="exact"/>
        <w:ind w:left="2268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gross</w:t>
      </w:r>
      <w:r w:rsidRPr="00D601F4">
        <w:rPr>
          <w:rFonts w:ascii="Arial" w:hAnsi="Arial" w:cs="Arial"/>
          <w:spacing w:val="5"/>
        </w:rPr>
        <w:t xml:space="preserve"> </w:t>
      </w:r>
      <w:r w:rsidRPr="00D601F4">
        <w:rPr>
          <w:rFonts w:ascii="Arial" w:hAnsi="Arial" w:cs="Arial"/>
        </w:rPr>
        <w:t>payments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(excluding</w:t>
      </w:r>
      <w:r w:rsidRPr="00D601F4">
        <w:rPr>
          <w:rFonts w:ascii="Arial" w:hAnsi="Arial" w:cs="Arial"/>
          <w:spacing w:val="5"/>
        </w:rPr>
        <w:t xml:space="preserve"> </w:t>
      </w:r>
      <w:r w:rsidRPr="00D601F4">
        <w:rPr>
          <w:rFonts w:ascii="Arial" w:hAnsi="Arial" w:cs="Arial"/>
        </w:rPr>
        <w:t>bonuses)</w:t>
      </w:r>
    </w:p>
    <w:p w14:paraId="055E7DB5" w14:textId="77777777" w:rsidR="008A0900" w:rsidRPr="00D601F4" w:rsidRDefault="00BF2EA6" w:rsidP="00B95C2E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spacing w:line="278" w:lineRule="exact"/>
        <w:ind w:left="2268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reportable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fringe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benefits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(net</w:t>
      </w:r>
      <w:r w:rsidRPr="00D601F4">
        <w:rPr>
          <w:rFonts w:ascii="Arial" w:hAnsi="Arial" w:cs="Arial"/>
          <w:spacing w:val="5"/>
        </w:rPr>
        <w:t xml:space="preserve"> </w:t>
      </w:r>
      <w:r w:rsidRPr="00D601F4">
        <w:rPr>
          <w:rFonts w:ascii="Arial" w:hAnsi="Arial" w:cs="Arial"/>
        </w:rPr>
        <w:t>amount)</w:t>
      </w:r>
    </w:p>
    <w:p w14:paraId="15092A79" w14:textId="77777777" w:rsidR="008A0900" w:rsidRPr="00D601F4" w:rsidRDefault="00BF2EA6" w:rsidP="00B95C2E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spacing w:line="280" w:lineRule="exact"/>
        <w:ind w:left="2268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reportable</w:t>
      </w:r>
      <w:r w:rsidRPr="00D601F4">
        <w:rPr>
          <w:rFonts w:ascii="Arial" w:hAnsi="Arial" w:cs="Arial"/>
          <w:spacing w:val="5"/>
        </w:rPr>
        <w:t xml:space="preserve"> </w:t>
      </w:r>
      <w:r w:rsidRPr="00D601F4">
        <w:rPr>
          <w:rFonts w:ascii="Arial" w:hAnsi="Arial" w:cs="Arial"/>
        </w:rPr>
        <w:t>employer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superannuation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contributions</w:t>
      </w:r>
    </w:p>
    <w:p w14:paraId="1BAF33C2" w14:textId="77777777" w:rsidR="008A0900" w:rsidRPr="00D601F4" w:rsidRDefault="00BF2EA6" w:rsidP="00B95C2E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spacing w:line="280" w:lineRule="exact"/>
        <w:ind w:left="2268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exempt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foreign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employment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income</w:t>
      </w:r>
    </w:p>
    <w:p w14:paraId="06EAFE56" w14:textId="77777777" w:rsidR="00D601F4" w:rsidRPr="00D601F4" w:rsidRDefault="00D601F4" w:rsidP="00B95C2E">
      <w:pPr>
        <w:pStyle w:val="BodyText"/>
        <w:spacing w:line="285" w:lineRule="exact"/>
        <w:ind w:left="2268" w:hanging="567"/>
        <w:rPr>
          <w:rFonts w:ascii="Arial" w:hAnsi="Arial" w:cs="Arial"/>
          <w:sz w:val="22"/>
          <w:szCs w:val="22"/>
        </w:rPr>
      </w:pPr>
    </w:p>
    <w:p w14:paraId="2B615E1D" w14:textId="67DF91D8" w:rsidR="008A0900" w:rsidRPr="00D601F4" w:rsidRDefault="00BF2EA6" w:rsidP="00B95C2E">
      <w:pPr>
        <w:pStyle w:val="BodyText"/>
        <w:spacing w:line="285" w:lineRule="exact"/>
        <w:ind w:left="2268" w:hanging="567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reported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an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individual’s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payment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summary.</w:t>
      </w:r>
    </w:p>
    <w:p w14:paraId="516440B2" w14:textId="77777777" w:rsidR="008A0900" w:rsidRPr="00D601F4" w:rsidRDefault="008A0900" w:rsidP="00B95C2E">
      <w:pPr>
        <w:pStyle w:val="BodyText"/>
        <w:ind w:left="2268" w:hanging="567"/>
        <w:rPr>
          <w:rFonts w:ascii="Arial" w:hAnsi="Arial" w:cs="Arial"/>
          <w:sz w:val="22"/>
          <w:szCs w:val="22"/>
        </w:rPr>
      </w:pPr>
    </w:p>
    <w:p w14:paraId="0E12D56B" w14:textId="77777777" w:rsidR="008A0900" w:rsidRPr="00D601F4" w:rsidRDefault="00BF2EA6" w:rsidP="00B95C2E">
      <w:pPr>
        <w:pStyle w:val="BodyText"/>
        <w:spacing w:line="230" w:lineRule="auto"/>
        <w:ind w:left="2268" w:hanging="567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‘contributed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superannuation’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column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7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prepared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on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cash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basis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using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contributed</w:t>
      </w:r>
      <w:r w:rsidRPr="00D601F4">
        <w:rPr>
          <w:rFonts w:ascii="Arial" w:hAnsi="Arial" w:cs="Arial"/>
          <w:spacing w:val="-48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superannuation</w:t>
      </w:r>
      <w:r w:rsidRPr="00D601F4">
        <w:rPr>
          <w:rFonts w:ascii="Arial" w:hAnsi="Arial" w:cs="Arial"/>
          <w:spacing w:val="-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defined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follows:</w:t>
      </w:r>
    </w:p>
    <w:p w14:paraId="03921ACE" w14:textId="77777777" w:rsidR="008A0900" w:rsidRPr="00D601F4" w:rsidRDefault="00BF2EA6" w:rsidP="00B95C2E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line="228" w:lineRule="auto"/>
        <w:ind w:left="2268" w:right="325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For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individuals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that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are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in a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defined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contribution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scheme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(e.g.,</w:t>
      </w:r>
      <w:r w:rsidRPr="00D601F4">
        <w:rPr>
          <w:rFonts w:ascii="Arial" w:hAnsi="Arial" w:cs="Arial"/>
          <w:spacing w:val="2"/>
        </w:rPr>
        <w:t xml:space="preserve"> </w:t>
      </w:r>
      <w:proofErr w:type="spellStart"/>
      <w:r w:rsidRPr="00D601F4">
        <w:rPr>
          <w:rFonts w:ascii="Arial" w:hAnsi="Arial" w:cs="Arial"/>
        </w:rPr>
        <w:t>PSSap</w:t>
      </w:r>
      <w:proofErr w:type="spellEnd"/>
      <w:r w:rsidRPr="00D601F4">
        <w:rPr>
          <w:rFonts w:ascii="Arial" w:hAnsi="Arial" w:cs="Arial"/>
        </w:rPr>
        <w:t>),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‘Contributed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superannuation’</w:t>
      </w:r>
      <w:r w:rsidRPr="00D601F4">
        <w:rPr>
          <w:rFonts w:ascii="Arial" w:hAnsi="Arial" w:cs="Arial"/>
          <w:spacing w:val="8"/>
        </w:rPr>
        <w:t xml:space="preserve"> </w:t>
      </w:r>
      <w:r w:rsidRPr="00D601F4">
        <w:rPr>
          <w:rFonts w:ascii="Arial" w:hAnsi="Arial" w:cs="Arial"/>
        </w:rPr>
        <w:t>should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include</w:t>
      </w:r>
      <w:r w:rsidRPr="00D601F4">
        <w:rPr>
          <w:rFonts w:ascii="Arial" w:hAnsi="Arial" w:cs="Arial"/>
          <w:spacing w:val="8"/>
        </w:rPr>
        <w:t xml:space="preserve"> </w:t>
      </w:r>
      <w:r w:rsidRPr="00D601F4">
        <w:rPr>
          <w:rFonts w:ascii="Arial" w:hAnsi="Arial" w:cs="Arial"/>
        </w:rPr>
        <w:t>the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defined</w:t>
      </w:r>
      <w:r w:rsidRPr="00D601F4">
        <w:rPr>
          <w:rFonts w:ascii="Arial" w:hAnsi="Arial" w:cs="Arial"/>
          <w:spacing w:val="8"/>
        </w:rPr>
        <w:t xml:space="preserve"> </w:t>
      </w:r>
      <w:r w:rsidRPr="00D601F4">
        <w:rPr>
          <w:rFonts w:ascii="Arial" w:hAnsi="Arial" w:cs="Arial"/>
        </w:rPr>
        <w:t>contribution</w:t>
      </w:r>
      <w:r w:rsidRPr="00D601F4">
        <w:rPr>
          <w:rFonts w:ascii="Arial" w:hAnsi="Arial" w:cs="Arial"/>
          <w:spacing w:val="5"/>
        </w:rPr>
        <w:t xml:space="preserve"> </w:t>
      </w:r>
      <w:r w:rsidRPr="00D601F4">
        <w:rPr>
          <w:rFonts w:ascii="Arial" w:hAnsi="Arial" w:cs="Arial"/>
        </w:rPr>
        <w:t>amounts.</w:t>
      </w:r>
    </w:p>
    <w:p w14:paraId="171AF567" w14:textId="77777777" w:rsidR="008A0900" w:rsidRPr="00D601F4" w:rsidRDefault="00BF2EA6" w:rsidP="00B95C2E">
      <w:pPr>
        <w:pStyle w:val="BodyText"/>
        <w:spacing w:line="276" w:lineRule="exact"/>
        <w:ind w:left="2268" w:hanging="567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sz w:val="22"/>
          <w:szCs w:val="22"/>
        </w:rPr>
        <w:t>This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amount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typically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located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on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individual’s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advice,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or</w:t>
      </w:r>
    </w:p>
    <w:p w14:paraId="00453C79" w14:textId="77777777" w:rsidR="008A0900" w:rsidRPr="00D601F4" w:rsidRDefault="00BF2EA6" w:rsidP="00B95C2E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line="228" w:lineRule="auto"/>
        <w:ind w:left="2268" w:right="191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For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individuals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that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are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in a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defined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benefit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scheme</w:t>
      </w:r>
      <w:r w:rsidRPr="00D601F4">
        <w:rPr>
          <w:rFonts w:ascii="Arial" w:hAnsi="Arial" w:cs="Arial"/>
          <w:spacing w:val="-1"/>
        </w:rPr>
        <w:t xml:space="preserve"> </w:t>
      </w:r>
      <w:r w:rsidRPr="00D601F4">
        <w:rPr>
          <w:rFonts w:ascii="Arial" w:hAnsi="Arial" w:cs="Arial"/>
        </w:rPr>
        <w:t>(</w:t>
      </w:r>
      <w:proofErr w:type="gramStart"/>
      <w:r w:rsidRPr="00D601F4">
        <w:rPr>
          <w:rFonts w:ascii="Arial" w:hAnsi="Arial" w:cs="Arial"/>
        </w:rPr>
        <w:t>e.g.</w:t>
      </w:r>
      <w:proofErr w:type="gramEnd"/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PSS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and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CSS),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‘Contributed</w:t>
      </w:r>
      <w:r w:rsidRPr="00D601F4">
        <w:rPr>
          <w:rFonts w:ascii="Arial" w:hAnsi="Arial" w:cs="Arial"/>
          <w:spacing w:val="6"/>
        </w:rPr>
        <w:t xml:space="preserve"> </w:t>
      </w:r>
      <w:r w:rsidRPr="00D601F4">
        <w:rPr>
          <w:rFonts w:ascii="Arial" w:hAnsi="Arial" w:cs="Arial"/>
        </w:rPr>
        <w:t>superannuation’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should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include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the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Notional</w:t>
      </w:r>
      <w:r w:rsidRPr="00D601F4">
        <w:rPr>
          <w:rFonts w:ascii="Arial" w:hAnsi="Arial" w:cs="Arial"/>
          <w:spacing w:val="10"/>
        </w:rPr>
        <w:t xml:space="preserve"> </w:t>
      </w:r>
      <w:r w:rsidRPr="00D601F4">
        <w:rPr>
          <w:rFonts w:ascii="Arial" w:hAnsi="Arial" w:cs="Arial"/>
        </w:rPr>
        <w:t>Employer</w:t>
      </w:r>
      <w:r w:rsidRPr="00D601F4">
        <w:rPr>
          <w:rFonts w:ascii="Arial" w:hAnsi="Arial" w:cs="Arial"/>
          <w:spacing w:val="6"/>
        </w:rPr>
        <w:t xml:space="preserve"> </w:t>
      </w:r>
      <w:r w:rsidRPr="00D601F4">
        <w:rPr>
          <w:rFonts w:ascii="Arial" w:hAnsi="Arial" w:cs="Arial"/>
        </w:rPr>
        <w:t>Contribution</w:t>
      </w:r>
      <w:r w:rsidRPr="00D601F4">
        <w:rPr>
          <w:rFonts w:ascii="Arial" w:hAnsi="Arial" w:cs="Arial"/>
          <w:spacing w:val="-48"/>
        </w:rPr>
        <w:t xml:space="preserve"> </w:t>
      </w:r>
      <w:r w:rsidRPr="00D601F4">
        <w:rPr>
          <w:rFonts w:ascii="Arial" w:hAnsi="Arial" w:cs="Arial"/>
        </w:rPr>
        <w:t>Rate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(</w:t>
      </w:r>
      <w:proofErr w:type="spellStart"/>
      <w:r w:rsidRPr="00D601F4">
        <w:rPr>
          <w:rFonts w:ascii="Arial" w:hAnsi="Arial" w:cs="Arial"/>
        </w:rPr>
        <w:t>NECR</w:t>
      </w:r>
      <w:proofErr w:type="spellEnd"/>
      <w:r w:rsidRPr="00D601F4">
        <w:rPr>
          <w:rFonts w:ascii="Arial" w:hAnsi="Arial" w:cs="Arial"/>
        </w:rPr>
        <w:t>)</w:t>
      </w:r>
      <w:r w:rsidRPr="00D601F4">
        <w:rPr>
          <w:rFonts w:ascii="Arial" w:hAnsi="Arial" w:cs="Arial"/>
          <w:spacing w:val="7"/>
        </w:rPr>
        <w:t xml:space="preserve"> </w:t>
      </w:r>
      <w:r w:rsidRPr="00D601F4">
        <w:rPr>
          <w:rFonts w:ascii="Arial" w:hAnsi="Arial" w:cs="Arial"/>
        </w:rPr>
        <w:t>amount,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Employer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Productivity</w:t>
      </w:r>
      <w:r w:rsidRPr="00D601F4">
        <w:rPr>
          <w:rFonts w:ascii="Arial" w:hAnsi="Arial" w:cs="Arial"/>
          <w:spacing w:val="6"/>
        </w:rPr>
        <w:t xml:space="preserve"> </w:t>
      </w:r>
      <w:r w:rsidRPr="00D601F4">
        <w:rPr>
          <w:rFonts w:ascii="Arial" w:hAnsi="Arial" w:cs="Arial"/>
        </w:rPr>
        <w:t>Superannuation</w:t>
      </w:r>
      <w:r w:rsidRPr="00D601F4">
        <w:rPr>
          <w:rFonts w:ascii="Arial" w:hAnsi="Arial" w:cs="Arial"/>
          <w:spacing w:val="5"/>
        </w:rPr>
        <w:t xml:space="preserve"> </w:t>
      </w:r>
      <w:r w:rsidRPr="00D601F4">
        <w:rPr>
          <w:rFonts w:ascii="Arial" w:hAnsi="Arial" w:cs="Arial"/>
        </w:rPr>
        <w:t>Contribution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(also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known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as</w:t>
      </w:r>
      <w:r w:rsidRPr="00D601F4">
        <w:rPr>
          <w:rFonts w:ascii="Arial" w:hAnsi="Arial" w:cs="Arial"/>
          <w:spacing w:val="4"/>
        </w:rPr>
        <w:t xml:space="preserve"> </w:t>
      </w:r>
      <w:r w:rsidRPr="00D601F4">
        <w:rPr>
          <w:rFonts w:ascii="Arial" w:hAnsi="Arial" w:cs="Arial"/>
        </w:rPr>
        <w:t>the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Productivity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Component)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and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any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additional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Lump</w:t>
      </w:r>
      <w:r w:rsidRPr="00D601F4">
        <w:rPr>
          <w:rFonts w:ascii="Arial" w:hAnsi="Arial" w:cs="Arial"/>
          <w:spacing w:val="3"/>
        </w:rPr>
        <w:t xml:space="preserve"> </w:t>
      </w:r>
      <w:r w:rsidRPr="00D601F4">
        <w:rPr>
          <w:rFonts w:ascii="Arial" w:hAnsi="Arial" w:cs="Arial"/>
        </w:rPr>
        <w:t>Sum</w:t>
      </w:r>
      <w:r w:rsidRPr="00D601F4">
        <w:rPr>
          <w:rFonts w:ascii="Arial" w:hAnsi="Arial" w:cs="Arial"/>
          <w:spacing w:val="1"/>
        </w:rPr>
        <w:t xml:space="preserve"> </w:t>
      </w:r>
      <w:r w:rsidRPr="00D601F4">
        <w:rPr>
          <w:rFonts w:ascii="Arial" w:hAnsi="Arial" w:cs="Arial"/>
        </w:rPr>
        <w:t>Contribution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paid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during</w:t>
      </w:r>
      <w:r w:rsidRPr="00D601F4">
        <w:rPr>
          <w:rFonts w:ascii="Arial" w:hAnsi="Arial" w:cs="Arial"/>
          <w:spacing w:val="-1"/>
        </w:rPr>
        <w:t xml:space="preserve"> </w:t>
      </w:r>
      <w:r w:rsidRPr="00D601F4">
        <w:rPr>
          <w:rFonts w:ascii="Arial" w:hAnsi="Arial" w:cs="Arial"/>
        </w:rPr>
        <w:t>the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financial reporting</w:t>
      </w:r>
      <w:r w:rsidRPr="00D601F4">
        <w:rPr>
          <w:rFonts w:ascii="Arial" w:hAnsi="Arial" w:cs="Arial"/>
          <w:spacing w:val="2"/>
        </w:rPr>
        <w:t xml:space="preserve"> </w:t>
      </w:r>
      <w:r w:rsidRPr="00D601F4">
        <w:rPr>
          <w:rFonts w:ascii="Arial" w:hAnsi="Arial" w:cs="Arial"/>
        </w:rPr>
        <w:t>period.</w:t>
      </w:r>
    </w:p>
    <w:p w14:paraId="7B2DAF71" w14:textId="77777777" w:rsidR="008A0900" w:rsidRPr="00D601F4" w:rsidRDefault="008A0900" w:rsidP="00B95C2E">
      <w:pPr>
        <w:pStyle w:val="BodyText"/>
        <w:ind w:left="1134"/>
        <w:rPr>
          <w:rFonts w:ascii="Arial" w:hAnsi="Arial" w:cs="Arial"/>
          <w:sz w:val="22"/>
          <w:szCs w:val="22"/>
        </w:rPr>
      </w:pPr>
    </w:p>
    <w:p w14:paraId="22B078D1" w14:textId="77777777" w:rsidR="008A0900" w:rsidRPr="00D601F4" w:rsidRDefault="00BF2EA6" w:rsidP="00B95C2E">
      <w:pPr>
        <w:pStyle w:val="BodyText"/>
        <w:spacing w:line="228" w:lineRule="auto"/>
        <w:ind w:left="1134" w:right="178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‘reportable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allowances’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column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prepared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on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cash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basis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using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reportable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allowances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-47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equal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to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‘total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allowances’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figure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reported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an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individual’s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payment summary.</w:t>
      </w:r>
    </w:p>
    <w:p w14:paraId="6717A80A" w14:textId="2DBE56BF" w:rsidR="008A0900" w:rsidRPr="00D601F4" w:rsidRDefault="00BF2EA6" w:rsidP="00B95C2E">
      <w:pPr>
        <w:pStyle w:val="BodyText"/>
        <w:spacing w:line="228" w:lineRule="auto"/>
        <w:ind w:left="1134" w:right="135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sz w:val="22"/>
          <w:szCs w:val="22"/>
        </w:rPr>
        <w:t>Reportable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allowances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proofErr w:type="gramStart"/>
      <w:r w:rsidRPr="00D601F4">
        <w:rPr>
          <w:rFonts w:ascii="Arial" w:hAnsi="Arial" w:cs="Arial"/>
          <w:sz w:val="22"/>
          <w:szCs w:val="22"/>
        </w:rPr>
        <w:t>excludes</w:t>
      </w:r>
      <w:proofErr w:type="gramEnd"/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any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allowances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already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reported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gross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payments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line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payment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summary.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‘bonus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paid’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column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prepared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on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cash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basis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using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bonus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paid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as</w:t>
      </w:r>
      <w:r w:rsidRPr="00D601F4">
        <w:rPr>
          <w:rFonts w:ascii="Arial" w:hAnsi="Arial" w:cs="Arial"/>
          <w:spacing w:val="-47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equal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to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 actual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bonus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paid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to</w:t>
      </w:r>
      <w:r w:rsidRPr="00D601F4">
        <w:rPr>
          <w:rFonts w:ascii="Arial" w:hAnsi="Arial" w:cs="Arial"/>
          <w:spacing w:val="5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individuals</w:t>
      </w:r>
      <w:r w:rsidRPr="00D601F4">
        <w:rPr>
          <w:rFonts w:ascii="Arial" w:hAnsi="Arial" w:cs="Arial"/>
          <w:spacing w:val="6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during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reporting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period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and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is</w:t>
      </w:r>
      <w:r w:rsidRPr="00D601F4">
        <w:rPr>
          <w:rFonts w:ascii="Arial" w:hAnsi="Arial" w:cs="Arial"/>
          <w:spacing w:val="3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a</w:t>
      </w:r>
      <w:r w:rsidRPr="00D601F4">
        <w:rPr>
          <w:rFonts w:ascii="Arial" w:hAnsi="Arial" w:cs="Arial"/>
          <w:spacing w:val="4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component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of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gross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payments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reported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on</w:t>
      </w:r>
      <w:r w:rsidRPr="00D601F4">
        <w:rPr>
          <w:rFonts w:ascii="Arial" w:hAnsi="Arial" w:cs="Arial"/>
          <w:spacing w:val="2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the</w:t>
      </w:r>
      <w:r w:rsidRPr="00D601F4">
        <w:rPr>
          <w:rFonts w:ascii="Arial" w:hAnsi="Arial" w:cs="Arial"/>
          <w:spacing w:val="1"/>
          <w:sz w:val="22"/>
          <w:szCs w:val="22"/>
        </w:rPr>
        <w:t xml:space="preserve"> </w:t>
      </w:r>
      <w:r w:rsidRPr="00D601F4">
        <w:rPr>
          <w:rFonts w:ascii="Arial" w:hAnsi="Arial" w:cs="Arial"/>
          <w:sz w:val="22"/>
          <w:szCs w:val="22"/>
        </w:rPr>
        <w:t>payment summary.</w:t>
      </w:r>
    </w:p>
    <w:p w14:paraId="7A12A6AA" w14:textId="3890BA53" w:rsidR="00593A3E" w:rsidRP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sz w:val="22"/>
          <w:szCs w:val="22"/>
        </w:rPr>
      </w:pPr>
    </w:p>
    <w:p w14:paraId="66B6BD75" w14:textId="13573CB8" w:rsid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sz w:val="22"/>
          <w:szCs w:val="22"/>
        </w:rPr>
      </w:pPr>
      <w:r w:rsidRPr="00D601F4">
        <w:rPr>
          <w:rFonts w:ascii="Arial" w:hAnsi="Arial" w:cs="Arial"/>
          <w:b/>
          <w:bCs/>
          <w:sz w:val="24"/>
          <w:szCs w:val="24"/>
          <w:u w:val="single"/>
        </w:rPr>
        <w:t>Definitions</w:t>
      </w:r>
      <w:r w:rsidR="00B95C2E">
        <w:rPr>
          <w:rFonts w:ascii="Arial" w:hAnsi="Arial" w:cs="Arial"/>
          <w:b/>
          <w:bCs/>
          <w:sz w:val="24"/>
          <w:szCs w:val="24"/>
          <w:u w:val="single"/>
        </w:rPr>
        <w:t xml:space="preserve"> of Personnel</w:t>
      </w:r>
      <w:r w:rsidRPr="00D601F4">
        <w:rPr>
          <w:rFonts w:ascii="Arial" w:hAnsi="Arial" w:cs="Arial"/>
          <w:sz w:val="22"/>
          <w:szCs w:val="22"/>
        </w:rPr>
        <w:t xml:space="preserve"> </w:t>
      </w:r>
    </w:p>
    <w:p w14:paraId="2348D1A7" w14:textId="5B0B32DE" w:rsidR="00593A3E" w:rsidRPr="00D601F4" w:rsidRDefault="00D601F4" w:rsidP="00B95C2E">
      <w:pPr>
        <w:pStyle w:val="BodyText"/>
        <w:spacing w:line="228" w:lineRule="auto"/>
        <w:ind w:left="1134" w:right="135"/>
        <w:rPr>
          <w:rFonts w:ascii="Arial" w:hAnsi="Arial" w:cs="Arial"/>
          <w:sz w:val="16"/>
          <w:szCs w:val="16"/>
        </w:rPr>
      </w:pPr>
      <w:r w:rsidRPr="00D601F4">
        <w:rPr>
          <w:rFonts w:ascii="Arial" w:hAnsi="Arial" w:cs="Arial"/>
          <w:sz w:val="16"/>
          <w:szCs w:val="16"/>
        </w:rPr>
        <w:t>(</w:t>
      </w:r>
      <w:r w:rsidR="00593A3E" w:rsidRPr="00D601F4">
        <w:rPr>
          <w:rFonts w:ascii="Arial" w:hAnsi="Arial" w:cs="Arial"/>
          <w:sz w:val="16"/>
          <w:szCs w:val="16"/>
        </w:rPr>
        <w:t xml:space="preserve">as per </w:t>
      </w:r>
      <w:hyperlink r:id="rId6" w:history="1">
        <w:r w:rsidR="00593A3E" w:rsidRPr="00D601F4">
          <w:rPr>
            <w:rStyle w:val="Hyperlink"/>
            <w:rFonts w:ascii="Arial" w:hAnsi="Arial" w:cs="Arial"/>
            <w:color w:val="auto"/>
            <w:sz w:val="16"/>
            <w:szCs w:val="16"/>
          </w:rPr>
          <w:t>https://www.finance.gov.au/government/managing-commonwealth-resources/commonwealth-entities-executive-remuneration-reporting-guide-annual-reports-rmg-138/senior-executives</w:t>
        </w:r>
      </w:hyperlink>
      <w:r w:rsidRPr="00D601F4">
        <w:rPr>
          <w:rFonts w:ascii="Arial" w:hAnsi="Arial" w:cs="Arial"/>
          <w:sz w:val="16"/>
          <w:szCs w:val="16"/>
        </w:rPr>
        <w:t>)</w:t>
      </w:r>
    </w:p>
    <w:p w14:paraId="301DDCF2" w14:textId="04B20F3A" w:rsidR="00593A3E" w:rsidRP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sz w:val="22"/>
          <w:szCs w:val="22"/>
        </w:rPr>
      </w:pPr>
    </w:p>
    <w:p w14:paraId="3DFED958" w14:textId="286AAAA0" w:rsidR="00593A3E" w:rsidRP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b/>
          <w:bCs/>
          <w:sz w:val="22"/>
          <w:szCs w:val="22"/>
          <w:u w:val="single"/>
        </w:rPr>
      </w:pPr>
      <w:r w:rsidRPr="00D601F4">
        <w:rPr>
          <w:rFonts w:ascii="Arial" w:hAnsi="Arial" w:cs="Arial"/>
          <w:b/>
          <w:bCs/>
          <w:sz w:val="22"/>
          <w:szCs w:val="22"/>
          <w:u w:val="single"/>
        </w:rPr>
        <w:t>Key Management Personnel:</w:t>
      </w:r>
    </w:p>
    <w:p w14:paraId="1F2088DB" w14:textId="3E2EED09" w:rsidR="00593A3E" w:rsidRP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C3B85C" w14:textId="77777777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</w:rPr>
      </w:pPr>
      <w:r w:rsidRPr="00D601F4">
        <w:rPr>
          <w:rFonts w:ascii="Arial" w:hAnsi="Arial" w:cs="Arial"/>
        </w:rPr>
        <w:t xml:space="preserve">Under AASB 124, KMP are </w:t>
      </w:r>
      <w:r w:rsidRPr="00D601F4">
        <w:rPr>
          <w:rFonts w:ascii="Arial" w:hAnsi="Arial" w:cs="Arial"/>
          <w:b/>
          <w:bCs/>
        </w:rPr>
        <w:t xml:space="preserve">those persons having authority and responsibility for planning, </w:t>
      </w:r>
      <w:proofErr w:type="gramStart"/>
      <w:r w:rsidRPr="00D601F4">
        <w:rPr>
          <w:rFonts w:ascii="Arial" w:hAnsi="Arial" w:cs="Arial"/>
          <w:b/>
          <w:bCs/>
        </w:rPr>
        <w:t>directing</w:t>
      </w:r>
      <w:proofErr w:type="gramEnd"/>
      <w:r w:rsidRPr="00D601F4">
        <w:rPr>
          <w:rFonts w:ascii="Arial" w:hAnsi="Arial" w:cs="Arial"/>
          <w:b/>
          <w:bCs/>
        </w:rPr>
        <w:t xml:space="preserve"> and controlling the activities of the entity, directly or indirectly, including any director (whether executive or otherwise) of that entity.</w:t>
      </w:r>
      <w:r w:rsidRPr="00D601F4">
        <w:rPr>
          <w:rFonts w:ascii="Arial" w:hAnsi="Arial" w:cs="Arial"/>
        </w:rPr>
        <w:t xml:space="preserve"> Commonwealth entities in preparing their annual financial statements would have decided which persons meet the definition of KMP. </w:t>
      </w:r>
      <w:r w:rsidRPr="00D601F4">
        <w:rPr>
          <w:rFonts w:ascii="Arial" w:hAnsi="Arial" w:cs="Arial"/>
        </w:rPr>
        <w:br/>
      </w:r>
      <w:r w:rsidRPr="00D601F4">
        <w:rPr>
          <w:rFonts w:ascii="Arial" w:hAnsi="Arial" w:cs="Arial"/>
        </w:rPr>
        <w:br/>
        <w:t xml:space="preserve">Consistent with this definition, the Accountable Authority of entities, including Secretaries of Departments of State, Chief Executives of non-corporate Commonwealth entities, and non-executive Board members </w:t>
      </w:r>
      <w:proofErr w:type="gramStart"/>
      <w:r w:rsidRPr="00D601F4">
        <w:rPr>
          <w:rFonts w:ascii="Arial" w:hAnsi="Arial" w:cs="Arial"/>
        </w:rPr>
        <w:t>are considered to be</w:t>
      </w:r>
      <w:proofErr w:type="gramEnd"/>
      <w:r w:rsidRPr="00D601F4">
        <w:rPr>
          <w:rFonts w:ascii="Arial" w:hAnsi="Arial" w:cs="Arial"/>
        </w:rPr>
        <w:t xml:space="preserve"> KMP. </w:t>
      </w:r>
    </w:p>
    <w:p w14:paraId="57845918" w14:textId="685A1F72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</w:rPr>
      </w:pPr>
      <w:r w:rsidRPr="00D601F4">
        <w:rPr>
          <w:rFonts w:ascii="Arial" w:hAnsi="Arial" w:cs="Arial"/>
        </w:rPr>
        <w:t>Common examples of other KMP determined by Commonwealth entities in preparing their financial statements in accordance with AASB 124 may include, but is not limited to, the following:</w:t>
      </w:r>
    </w:p>
    <w:p w14:paraId="64754522" w14:textId="39F86099" w:rsidR="00593A3E" w:rsidRPr="00D601F4" w:rsidRDefault="00593A3E" w:rsidP="00B95C2E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</w:rPr>
      </w:pPr>
      <w:r w:rsidRPr="00D601F4">
        <w:rPr>
          <w:rFonts w:ascii="Arial" w:hAnsi="Arial" w:cs="Arial"/>
          <w:b/>
          <w:bCs/>
          <w:i/>
          <w:iCs/>
        </w:rPr>
        <w:t>Corporate Commonwealth Entities:</w:t>
      </w:r>
      <w:r w:rsidRPr="00D601F4">
        <w:rPr>
          <w:rFonts w:ascii="Arial" w:hAnsi="Arial" w:cs="Arial"/>
        </w:rPr>
        <w:tab/>
      </w:r>
    </w:p>
    <w:p w14:paraId="089E92AB" w14:textId="5E6395C2" w:rsidR="00593A3E" w:rsidRPr="00D601F4" w:rsidRDefault="00593A3E" w:rsidP="00B95C2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1701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Chief Executive Officers</w:t>
      </w:r>
    </w:p>
    <w:p w14:paraId="2D751123" w14:textId="575EA061" w:rsidR="00593A3E" w:rsidRPr="00D601F4" w:rsidRDefault="00593A3E" w:rsidP="00B95C2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1701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Deputy Chief Executive Officers</w:t>
      </w:r>
    </w:p>
    <w:p w14:paraId="073A390F" w14:textId="324F7FD2" w:rsidR="00593A3E" w:rsidRPr="00D601F4" w:rsidRDefault="00593A3E" w:rsidP="00B95C2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1701" w:hanging="567"/>
        <w:rPr>
          <w:rFonts w:ascii="Arial" w:hAnsi="Arial" w:cs="Arial"/>
        </w:rPr>
      </w:pPr>
      <w:r w:rsidRPr="00D601F4">
        <w:rPr>
          <w:rFonts w:ascii="Arial" w:hAnsi="Arial" w:cs="Arial"/>
        </w:rPr>
        <w:t>Senior Counsel</w:t>
      </w:r>
    </w:p>
    <w:p w14:paraId="2EE761A6" w14:textId="54AF2A18" w:rsidR="00593A3E" w:rsidRPr="00D601F4" w:rsidRDefault="00593A3E" w:rsidP="00B95C2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ind w:left="1701" w:hanging="567"/>
        <w:rPr>
          <w:rFonts w:ascii="Arial" w:hAnsi="Arial" w:cs="Arial"/>
          <w:b/>
          <w:bCs/>
        </w:rPr>
      </w:pPr>
      <w:r w:rsidRPr="00D601F4">
        <w:rPr>
          <w:rFonts w:ascii="Arial" w:hAnsi="Arial" w:cs="Arial"/>
          <w:b/>
          <w:bCs/>
        </w:rPr>
        <w:t>Group General Managers / Group Managing Directors</w:t>
      </w:r>
    </w:p>
    <w:p w14:paraId="294843F1" w14:textId="77777777" w:rsidR="00593A3E" w:rsidRP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4333E6" w14:textId="402ABE65" w:rsidR="00593A3E" w:rsidRPr="00D601F4" w:rsidRDefault="00593A3E" w:rsidP="00B95C2E">
      <w:pPr>
        <w:pStyle w:val="BodyText"/>
        <w:spacing w:line="228" w:lineRule="auto"/>
        <w:ind w:left="1134" w:right="135"/>
        <w:rPr>
          <w:rFonts w:ascii="Arial" w:hAnsi="Arial" w:cs="Arial"/>
          <w:sz w:val="22"/>
          <w:szCs w:val="22"/>
        </w:rPr>
      </w:pPr>
    </w:p>
    <w:p w14:paraId="62DF37C0" w14:textId="77777777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D601F4">
        <w:rPr>
          <w:rFonts w:ascii="Arial" w:hAnsi="Arial" w:cs="Arial"/>
          <w:b/>
          <w:bCs/>
          <w:sz w:val="22"/>
          <w:szCs w:val="22"/>
          <w:u w:val="single"/>
        </w:rPr>
        <w:t xml:space="preserve">Senior Executives: </w:t>
      </w:r>
    </w:p>
    <w:p w14:paraId="5D55C3EC" w14:textId="4A1A0283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</w:rPr>
      </w:pPr>
      <w:r w:rsidRPr="00D601F4">
        <w:rPr>
          <w:rFonts w:ascii="Arial" w:hAnsi="Arial" w:cs="Arial"/>
        </w:rPr>
        <w:t>Senior executives are any of the following who are not key management personnel (KMP):</w:t>
      </w:r>
    </w:p>
    <w:p w14:paraId="3E4A2C3F" w14:textId="77777777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</w:rPr>
      </w:pPr>
      <w:r w:rsidRPr="00D601F4">
        <w:rPr>
          <w:rFonts w:ascii="Arial" w:hAnsi="Arial" w:cs="Arial"/>
        </w:rPr>
        <w:t>(a) an official with a classification in Groups 9 to 11 of the table in </w:t>
      </w:r>
      <w:hyperlink r:id="rId7" w:tgtFrame="_blank" w:history="1">
        <w:r w:rsidRPr="00D601F4">
          <w:rPr>
            <w:rStyle w:val="Hyperlink"/>
            <w:rFonts w:ascii="Arial" w:hAnsi="Arial" w:cs="Arial"/>
            <w:i/>
            <w:iCs/>
            <w:color w:val="auto"/>
          </w:rPr>
          <w:t>Schedule 1 to the Public Service Classification Rules 2000</w:t>
        </w:r>
      </w:hyperlink>
      <w:r w:rsidRPr="00D601F4">
        <w:rPr>
          <w:rFonts w:ascii="Arial" w:hAnsi="Arial" w:cs="Arial"/>
        </w:rPr>
        <w:t> , or</w:t>
      </w:r>
    </w:p>
    <w:p w14:paraId="3E903BDD" w14:textId="77777777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  <w:b/>
          <w:bCs/>
        </w:rPr>
      </w:pPr>
      <w:r w:rsidRPr="00D601F4">
        <w:rPr>
          <w:rFonts w:ascii="Arial" w:hAnsi="Arial" w:cs="Arial"/>
          <w:b/>
          <w:bCs/>
        </w:rPr>
        <w:t>(b) an official with a position equivalent to an official covered by paragraph (a). For corporate Commonwealth entities that do not employ staff under the </w:t>
      </w:r>
      <w:hyperlink r:id="rId8" w:tgtFrame="_blank" w:history="1">
        <w:r w:rsidRPr="00D601F4">
          <w:rPr>
            <w:rStyle w:val="Hyperlink"/>
            <w:rFonts w:ascii="Arial" w:hAnsi="Arial" w:cs="Arial"/>
            <w:b/>
            <w:bCs/>
            <w:i/>
            <w:iCs/>
            <w:color w:val="auto"/>
          </w:rPr>
          <w:t>Public Service Act 1999</w:t>
        </w:r>
      </w:hyperlink>
      <w:r w:rsidRPr="00D601F4">
        <w:rPr>
          <w:rFonts w:ascii="Arial" w:hAnsi="Arial" w:cs="Arial"/>
          <w:b/>
          <w:bCs/>
        </w:rPr>
        <w:t> , this would include an official other than a KMP who is responsible for making decisions, or having substantial input into decisions, that affect the operations of an entity, and </w:t>
      </w:r>
    </w:p>
    <w:p w14:paraId="3E5551FF" w14:textId="77777777" w:rsidR="00593A3E" w:rsidRPr="00D601F4" w:rsidRDefault="00593A3E" w:rsidP="00B95C2E">
      <w:pPr>
        <w:pStyle w:val="NormalWeb"/>
        <w:shd w:val="clear" w:color="auto" w:fill="FFFFFF"/>
        <w:spacing w:before="0" w:beforeAutospacing="0"/>
        <w:ind w:left="1134"/>
        <w:rPr>
          <w:rFonts w:ascii="Arial" w:hAnsi="Arial" w:cs="Arial"/>
        </w:rPr>
      </w:pPr>
      <w:r w:rsidRPr="00D601F4">
        <w:rPr>
          <w:rFonts w:ascii="Arial" w:hAnsi="Arial" w:cs="Arial"/>
        </w:rPr>
        <w:t>(c) an officer of the Australian Defence Force with a rank equivalent to a classification covered by paragraph (a). This would include Commodores, Brigadiers, and Air Commodores, and all officers of a higher rank. </w:t>
      </w:r>
    </w:p>
    <w:p w14:paraId="42D6F93D" w14:textId="6A376CC4" w:rsidR="00593A3E" w:rsidRPr="00BF2EA6" w:rsidRDefault="00593A3E">
      <w:pPr>
        <w:pStyle w:val="BodyText"/>
        <w:spacing w:before="1" w:line="228" w:lineRule="auto"/>
        <w:ind w:left="132" w:right="135"/>
        <w:rPr>
          <w:rFonts w:ascii="Arial" w:hAnsi="Arial" w:cs="Arial"/>
          <w:sz w:val="22"/>
          <w:szCs w:val="22"/>
        </w:rPr>
      </w:pPr>
    </w:p>
    <w:sectPr w:rsidR="00593A3E" w:rsidRPr="00BF2EA6" w:rsidSect="006F1709">
      <w:type w:val="continuous"/>
      <w:pgSz w:w="16850" w:h="11900" w:orient="landscape"/>
      <w:pgMar w:top="1000" w:right="860" w:bottom="10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duct Sans"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223"/>
    <w:multiLevelType w:val="hybridMultilevel"/>
    <w:tmpl w:val="F6B8B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5EF"/>
    <w:multiLevelType w:val="hybridMultilevel"/>
    <w:tmpl w:val="F75C4DE6"/>
    <w:lvl w:ilvl="0" w:tplc="C876E742">
      <w:start w:val="1"/>
      <w:numFmt w:val="lowerLetter"/>
      <w:lvlText w:val="%1."/>
      <w:lvlJc w:val="left"/>
      <w:pPr>
        <w:ind w:left="1572" w:hanging="720"/>
        <w:jc w:val="left"/>
      </w:pPr>
      <w:rPr>
        <w:rFonts w:ascii="Arial" w:eastAsia="Product Sans" w:hAnsi="Arial" w:cs="Arial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 w:tplc="746CB0EE">
      <w:numFmt w:val="bullet"/>
      <w:lvlText w:val="•"/>
      <w:lvlJc w:val="left"/>
      <w:pPr>
        <w:ind w:left="2409" w:hanging="720"/>
      </w:pPr>
      <w:rPr>
        <w:rFonts w:hint="default"/>
      </w:rPr>
    </w:lvl>
    <w:lvl w:ilvl="2" w:tplc="0CE65926">
      <w:numFmt w:val="bullet"/>
      <w:lvlText w:val="•"/>
      <w:lvlJc w:val="left"/>
      <w:pPr>
        <w:ind w:left="3239" w:hanging="720"/>
      </w:pPr>
      <w:rPr>
        <w:rFonts w:hint="default"/>
      </w:rPr>
    </w:lvl>
    <w:lvl w:ilvl="3" w:tplc="99F02D20">
      <w:numFmt w:val="bullet"/>
      <w:lvlText w:val="•"/>
      <w:lvlJc w:val="left"/>
      <w:pPr>
        <w:ind w:left="4069" w:hanging="720"/>
      </w:pPr>
      <w:rPr>
        <w:rFonts w:hint="default"/>
      </w:rPr>
    </w:lvl>
    <w:lvl w:ilvl="4" w:tplc="ABD4879E">
      <w:numFmt w:val="bullet"/>
      <w:lvlText w:val="•"/>
      <w:lvlJc w:val="left"/>
      <w:pPr>
        <w:ind w:left="4899" w:hanging="720"/>
      </w:pPr>
      <w:rPr>
        <w:rFonts w:hint="default"/>
      </w:rPr>
    </w:lvl>
    <w:lvl w:ilvl="5" w:tplc="55761BFE">
      <w:numFmt w:val="bullet"/>
      <w:lvlText w:val="•"/>
      <w:lvlJc w:val="left"/>
      <w:pPr>
        <w:ind w:left="5729" w:hanging="720"/>
      </w:pPr>
      <w:rPr>
        <w:rFonts w:hint="default"/>
      </w:rPr>
    </w:lvl>
    <w:lvl w:ilvl="6" w:tplc="2B466A5E">
      <w:numFmt w:val="bullet"/>
      <w:lvlText w:val="•"/>
      <w:lvlJc w:val="left"/>
      <w:pPr>
        <w:ind w:left="6559" w:hanging="720"/>
      </w:pPr>
      <w:rPr>
        <w:rFonts w:hint="default"/>
      </w:rPr>
    </w:lvl>
    <w:lvl w:ilvl="7" w:tplc="36B6709C">
      <w:numFmt w:val="bullet"/>
      <w:lvlText w:val="•"/>
      <w:lvlJc w:val="left"/>
      <w:pPr>
        <w:ind w:left="7389" w:hanging="720"/>
      </w:pPr>
      <w:rPr>
        <w:rFonts w:hint="default"/>
      </w:rPr>
    </w:lvl>
    <w:lvl w:ilvl="8" w:tplc="B11AA520">
      <w:numFmt w:val="bullet"/>
      <w:lvlText w:val="•"/>
      <w:lvlJc w:val="left"/>
      <w:pPr>
        <w:ind w:left="8219" w:hanging="720"/>
      </w:pPr>
      <w:rPr>
        <w:rFonts w:hint="default"/>
      </w:rPr>
    </w:lvl>
  </w:abstractNum>
  <w:abstractNum w:abstractNumId="2" w15:restartNumberingAfterBreak="0">
    <w:nsid w:val="424E602F"/>
    <w:multiLevelType w:val="hybridMultilevel"/>
    <w:tmpl w:val="252A3566"/>
    <w:lvl w:ilvl="0" w:tplc="D188D772">
      <w:start w:val="1"/>
      <w:numFmt w:val="lowerLetter"/>
      <w:lvlText w:val="%1."/>
      <w:lvlJc w:val="left"/>
      <w:pPr>
        <w:ind w:left="1572" w:hanging="720"/>
        <w:jc w:val="left"/>
      </w:pPr>
      <w:rPr>
        <w:rFonts w:ascii="Arial" w:eastAsia="Product Sans" w:hAnsi="Arial" w:cs="Arial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 w:tplc="65A6F5F4">
      <w:numFmt w:val="bullet"/>
      <w:lvlText w:val="•"/>
      <w:lvlJc w:val="left"/>
      <w:pPr>
        <w:ind w:left="2409" w:hanging="720"/>
      </w:pPr>
      <w:rPr>
        <w:rFonts w:hint="default"/>
      </w:rPr>
    </w:lvl>
    <w:lvl w:ilvl="2" w:tplc="1A76A55C">
      <w:numFmt w:val="bullet"/>
      <w:lvlText w:val="•"/>
      <w:lvlJc w:val="left"/>
      <w:pPr>
        <w:ind w:left="3239" w:hanging="720"/>
      </w:pPr>
      <w:rPr>
        <w:rFonts w:hint="default"/>
      </w:rPr>
    </w:lvl>
    <w:lvl w:ilvl="3" w:tplc="5AD899BC">
      <w:numFmt w:val="bullet"/>
      <w:lvlText w:val="•"/>
      <w:lvlJc w:val="left"/>
      <w:pPr>
        <w:ind w:left="4069" w:hanging="720"/>
      </w:pPr>
      <w:rPr>
        <w:rFonts w:hint="default"/>
      </w:rPr>
    </w:lvl>
    <w:lvl w:ilvl="4" w:tplc="34864350">
      <w:numFmt w:val="bullet"/>
      <w:lvlText w:val="•"/>
      <w:lvlJc w:val="left"/>
      <w:pPr>
        <w:ind w:left="4899" w:hanging="720"/>
      </w:pPr>
      <w:rPr>
        <w:rFonts w:hint="default"/>
      </w:rPr>
    </w:lvl>
    <w:lvl w:ilvl="5" w:tplc="CA7ED9C4">
      <w:numFmt w:val="bullet"/>
      <w:lvlText w:val="•"/>
      <w:lvlJc w:val="left"/>
      <w:pPr>
        <w:ind w:left="5729" w:hanging="720"/>
      </w:pPr>
      <w:rPr>
        <w:rFonts w:hint="default"/>
      </w:rPr>
    </w:lvl>
    <w:lvl w:ilvl="6" w:tplc="C910099A">
      <w:numFmt w:val="bullet"/>
      <w:lvlText w:val="•"/>
      <w:lvlJc w:val="left"/>
      <w:pPr>
        <w:ind w:left="6559" w:hanging="720"/>
      </w:pPr>
      <w:rPr>
        <w:rFonts w:hint="default"/>
      </w:rPr>
    </w:lvl>
    <w:lvl w:ilvl="7" w:tplc="DE7E09B4">
      <w:numFmt w:val="bullet"/>
      <w:lvlText w:val="•"/>
      <w:lvlJc w:val="left"/>
      <w:pPr>
        <w:ind w:left="7389" w:hanging="720"/>
      </w:pPr>
      <w:rPr>
        <w:rFonts w:hint="default"/>
      </w:rPr>
    </w:lvl>
    <w:lvl w:ilvl="8" w:tplc="92147412">
      <w:numFmt w:val="bullet"/>
      <w:lvlText w:val="•"/>
      <w:lvlJc w:val="left"/>
      <w:pPr>
        <w:ind w:left="8219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900"/>
    <w:rsid w:val="002B349A"/>
    <w:rsid w:val="00593A3E"/>
    <w:rsid w:val="006B649A"/>
    <w:rsid w:val="006F1709"/>
    <w:rsid w:val="00865FFA"/>
    <w:rsid w:val="008A0900"/>
    <w:rsid w:val="00A04491"/>
    <w:rsid w:val="00B44768"/>
    <w:rsid w:val="00B95C2E"/>
    <w:rsid w:val="00BD76C6"/>
    <w:rsid w:val="00BF2EA6"/>
    <w:rsid w:val="00C064FA"/>
    <w:rsid w:val="00CA0D9F"/>
    <w:rsid w:val="00D601F4"/>
    <w:rsid w:val="00D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B730"/>
  <w15:docId w15:val="{9818F404-38D9-4548-8B77-46474B5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duct Sans" w:eastAsia="Product Sans" w:hAnsi="Product Sans" w:cs="Product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9" w:line="285" w:lineRule="exact"/>
      <w:ind w:left="132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72" w:hanging="72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0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A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C2004A00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Series/F2005B01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.gov.au/government/managing-commonwealth-resources/commonwealth-entities-executive-remuneration-reporting-guide-annual-reports-rmg-138/senior-executiv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AgriFutures Australia letterhead blank_TEMPLATE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AgriFutures Australia letterhead blank_TEMPLATE</dc:title>
  <dc:creator>Nicholas Wright</dc:creator>
  <cp:lastModifiedBy>Jessica Grant</cp:lastModifiedBy>
  <cp:revision>5</cp:revision>
  <dcterms:created xsi:type="dcterms:W3CDTF">2022-02-01T22:29:00Z</dcterms:created>
  <dcterms:modified xsi:type="dcterms:W3CDTF">2022-02-01T23:41:00Z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2022-01-26T00:00:00Z</vt:filetime>
  </property>
</Properties>
</file>